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附件2：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食品药品研究院兼职管理员聘任考核办法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目的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为进一步提升食品药品研究院（以下简称“研究院”）兼职管理员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业务能力，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推进卓越绩效管理，现组织兼职管理员聘任考核活动，针对依托开放实验室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/大型仪器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开展的对外宣传、支持教学、科研及人才培养等方面工作进行量化考核，针对综合管理进行规范化考核，打造“开放、创新、规范”三位一体公共科技服务平台。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范围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研究院管理范围内开放实验室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及仪器的兼职管理员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考核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方案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1.成立考核工作组：工作组由研究院管理人员5人组成，设组长1 名，原则上由研究院院长担任，秘书1名，由开放实验室管理员担任。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2.发放考核通知及评分标准：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初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工作组在研究院官网发布考核通知，兼职管理员按通知在规定时间提交考核材料。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3.组织考核：考核工作组按通知在规定时间内组织校内外专家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名开展评审。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4.公示：公示不少于3个工作日。公示无异议后予以奖励。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四、评分标准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实验室兼职管理员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评分标准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见表1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表1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实验室兼职管理员评分标准</w:t>
      </w:r>
    </w:p>
    <w:tbl>
      <w:tblPr>
        <w:tblStyle w:val="6"/>
        <w:tblW w:w="9577" w:type="dxa"/>
        <w:tblInd w:w="-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496"/>
        <w:gridCol w:w="5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96" w:type="dxa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5319" w:type="dxa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具体项目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96" w:type="dxa"/>
            <w:vMerge w:val="restart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对外宣传(最高 10 分，不提供或提供内容不符合要求的，不得分。)</w:t>
            </w: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对外服务宣传视频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1-4分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放实验室特色介绍、服务项目及入驻人员介绍等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宣传照片(人员操作实景)得1分（最高3分）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参观接待提供通讯稿得1分（最高3分）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96" w:type="dxa"/>
            <w:vMerge w:val="restart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支持教学(本项最高10分，不提供或提供内容不符合要求的，不得分。)</w:t>
            </w: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教学视频得1-4分（评委根据视频数量、时长、质量进行评分）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活页式实验讲义(含实验原理、操作 步骤、实验数据记录表、实验讨论及结论模板)得1分（最高3分）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校级及以上教育教学项目立项通知得1分（最高3分）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96" w:type="dxa"/>
            <w:vMerge w:val="restart"/>
          </w:tcPr>
          <w:p>
            <w:pPr>
              <w:spacing w:line="24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支持科研(本项最高40分，项目均须提供立项或结题证明，项目负责人应为参评人或入驻该实验室的人员，不提供或见证材料不符合要求的，不得分。)</w:t>
            </w: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国家级科研项目支持得30分，获省级科研项目支持得15分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校级及以上科研项目得5分（最高15分）；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委托研发（30万及以上）项目得15分（最高30分）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累计横向课题到账经费（万元）得分以累计金额（单位：万元）÷2计（例如：累计金额6万元，则计分3分，最高15分）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96" w:type="dxa"/>
            <w:vMerge w:val="restart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支持人才培养(本项最高得10分。需提供公示文件或证书等证明，项目负责人应为参评人或入驻该实验室的人员。不提供或见证材料不符合要求的，不得分。)</w:t>
            </w: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省级以上技能大赛得5分（可累加）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省级以上教学能力大赛得5分（可累加）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省级互联网+创新创业大赛得5分（可累加）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省级及以上学生毕业设计奖项得5分（可累加）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联合培养硕士研究生得5分/生（可累加）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培养科研助理得2分/生（最高6分）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96" w:type="dxa"/>
            <w:vMerge w:val="restart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氛围布置（本项最高得12分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参评人自评计分，专家组根据现场检查等方式赋分。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仪器及区域标识完备得3分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</w:tcPr>
          <w:p>
            <w:pPr>
              <w:spacing w:line="240" w:lineRule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安全管理及应急制度上墙得3分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</w:tcPr>
          <w:p>
            <w:pPr>
              <w:spacing w:line="240" w:lineRule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操作规程（如涉及）上墙得3分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</w:tcPr>
          <w:p>
            <w:pPr>
              <w:spacing w:line="240" w:lineRule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496" w:type="dxa"/>
            <w:vMerge w:val="continue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319" w:type="dxa"/>
          </w:tcPr>
          <w:p>
            <w:pPr>
              <w:spacing w:line="240" w:lineRule="auto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使用维护记录齐全（如涉及）得3分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</w:tcPr>
          <w:p>
            <w:pPr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96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台账明细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本项最高得18分。参评人自评计分，专家组根据档案材料检查等方式赋分。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319" w:type="dxa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安全卫生检查记录、环境监控记录、人员档案、人员培训及监督记录、质量控制记录如涉及、废弃物收集记录、出入库台账等齐全得3分/份。</w:t>
            </w:r>
          </w:p>
        </w:tc>
      </w:tr>
    </w:tbl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仪器兼职管理员评分标准见表2。</w:t>
      </w:r>
    </w:p>
    <w:p>
      <w:pPr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表2 仪器兼职管理员评分标准</w:t>
      </w:r>
    </w:p>
    <w:tbl>
      <w:tblPr>
        <w:tblStyle w:val="5"/>
        <w:tblW w:w="9577" w:type="dxa"/>
        <w:tblInd w:w="-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496"/>
        <w:gridCol w:w="5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序号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项目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具体项目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宣传视频及照片（本项最高 5 分，不提供不得分。）</w:t>
            </w: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提供对外服务宣传视频得 2-4 分（包含仪器特色介绍、服务项目 及上岗人员介绍等）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提供宣传照片得 1 分（人员操作实景）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培训视频及实验讲义（本项最高 10 分，不提供或提供内容不符合要求的，不得分。）</w:t>
            </w: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提供仪器上岗操作培训视频（含样品前处理、仪器开机、编辑方 法、数据处理及分析、关机，人员出镜，总时长不超过 25 分钟）得 3-6 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提供活页实验讲义（含仪器背景介绍、项目方法原理、操作 步骤、实验数据记录表、实验讨论及结论模板）得 1-4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支持教科研项目（本项最高 20 分，不提供或见证材料不符合要求的，不得分。）</w:t>
            </w: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支持省级以上教科研项目，得 10 分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须提供有项目号标注的检测报告、论文或成果证明，明确仪器型号）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支持委托研发项目，年度 累积金额 30 万元及以上的，得 10 分。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须提供有项目号标注的检测报告、论文或成果证明，明确仪器型号）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支持人才培养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本项最高得10 分。需提供公示文件或证书等证明，相关人员须 获得仪器上岗授权。不提供或见证材料不符合要求的，不得分。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支持省级以上技能大赛、教学能力大赛或创新创业大赛奖项得 5 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支持省级及以上学生毕业设计奖项，得 5 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仪器上岗人员数（本项最高 10 分，不提供或见证材料不符合要求的，不得分。）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每提供 1 名经过培训考核并获得岗位能力确认的得 2 分，需提供经研究院签署的岗位能力确认表。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培训场次及人数（本项最高 15 分，不提供或见证材料不符合要求的，不得分。）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校内公开发布通知且计入继续教育积分的培训（与参评仪器相 关），每 20 人次得 3 分。需提供培训签到表及通讯报道支撑。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仪器服务能力质效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30 分，下列 2 项得分不叠加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  <w:t>扩项方法学报告：通过研究院审核的方法学验证或确认报 告（参数）数量。每完成 1 个扩项参数得 1 分。本项最高 30 分，提 供经过研究院审核的方法学报告，不提供不得分。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4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5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</w:rPr>
            </w:pP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有效数据量：提供通过研究院审核的数据，以仪器机时计， 每 300 机时计 5 分。</w:t>
            </w:r>
            <w:bookmarkEnd w:id="0"/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本项最高 30 分，需提供仪器使用记录、质控实 验记录、可读版谱图及数据报告，不提供不得分。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食品药品研究院</w:t>
      </w:r>
    </w:p>
    <w:p>
      <w:pPr>
        <w:jc w:val="righ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2B7AB4C-E3CC-46E8-B184-07427A8CFC6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53E5E98-05F4-4BB0-A76A-59E8D5AA28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2M5MzlmMDk0MTMxNDQyZDAxMGQxZmIxM2RlZDNjZjAifQ=="/>
  </w:docVars>
  <w:rsids>
    <w:rsidRoot w:val="00172A27"/>
    <w:rsid w:val="002551AD"/>
    <w:rsid w:val="003A16B6"/>
    <w:rsid w:val="004873BB"/>
    <w:rsid w:val="00676BF5"/>
    <w:rsid w:val="008F2467"/>
    <w:rsid w:val="009733EC"/>
    <w:rsid w:val="00A50120"/>
    <w:rsid w:val="00BE4AA2"/>
    <w:rsid w:val="00CD76DD"/>
    <w:rsid w:val="00CF3FBB"/>
    <w:rsid w:val="00D97934"/>
    <w:rsid w:val="00EA0547"/>
    <w:rsid w:val="00FD1FA7"/>
    <w:rsid w:val="157523CD"/>
    <w:rsid w:val="44DF4192"/>
    <w:rsid w:val="4AF6524D"/>
    <w:rsid w:val="4CE27D8D"/>
    <w:rsid w:val="53703F65"/>
    <w:rsid w:val="5E01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等线" w:hAnsi="等线" w:eastAsia="等线" w:cs="等线"/>
      <w:sz w:val="28"/>
      <w:szCs w:val="28"/>
      <w:lang w:val="en-US" w:eastAsia="en-US" w:bidi="ar-SA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2097</Words>
  <Characters>2143</Characters>
  <Lines>10</Lines>
  <Paragraphs>2</Paragraphs>
  <TotalTime>31</TotalTime>
  <ScaleCrop>false</ScaleCrop>
  <LinksUpToDate>false</LinksUpToDate>
  <CharactersWithSpaces>2215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2024-04-27T14:09:00Z</dcterms:created>
  <dc:creator>国哲 邓</dc:creator>
  <cp:lastModifiedBy>蓝胖子的口袋</cp:lastModifiedBy>
  <dcterms:modified xsi:type="dcterms:W3CDTF">2024-04-28T12:24:09Z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9CED903B1A2747E59A27B7A5BAC4F80B_12</vt:lpwstr>
  </property>
</Properties>
</file>